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89" w:rsidRPr="00B80B8C" w:rsidRDefault="000D74EB" w:rsidP="00B80B8C">
      <w:pPr>
        <w:rPr>
          <w:lang w:val="en"/>
        </w:rPr>
      </w:pPr>
      <w:r w:rsidRPr="008E1852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-609600</wp:posOffset>
            </wp:positionH>
            <wp:positionV relativeFrom="margin">
              <wp:posOffset>-723900</wp:posOffset>
            </wp:positionV>
            <wp:extent cx="6810375" cy="2998470"/>
            <wp:effectExtent l="0" t="0" r="9525" b="0"/>
            <wp:wrapSquare wrapText="bothSides"/>
            <wp:docPr id="2" name="Picture 1" descr="https://performancemanager.successfactors.eu/doc/custom/SwissRe/OPERATING_UNITS_H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erformancemanager.successfactors.eu/doc/custom/SwissRe/OPERATING_UNITS_HG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14"/>
                    <a:stretch/>
                  </pic:blipFill>
                  <pic:spPr bwMode="auto">
                    <a:xfrm>
                      <a:off x="0" y="0"/>
                      <a:ext cx="681037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289" w:rsidRPr="00B80B8C">
        <w:rPr>
          <w:rFonts w:ascii="Helvetica" w:eastAsia="Times New Roman" w:hAnsi="Helvetica" w:cs="Helvetica"/>
          <w:b/>
          <w:bCs/>
          <w:color w:val="ED7D31" w:themeColor="accent2"/>
          <w:sz w:val="20"/>
          <w:szCs w:val="20"/>
          <w:lang w:val="en"/>
        </w:rPr>
        <w:t>About Swiss Re</w:t>
      </w:r>
    </w:p>
    <w:p w:rsidR="00251289" w:rsidRPr="00251289" w:rsidRDefault="00251289" w:rsidP="00251289">
      <w:pP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La empresa </w:t>
      </w:r>
      <w:proofErr w:type="spellStart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Swiss</w:t>
      </w:r>
      <w:proofErr w:type="spellEnd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Re con sede central en Suiza es la mayor reaseguradora más grande del mundo. Ayuda a más de 50.000 clientes en todo el mundo a mitigar su exposición al riesgo. Con una plantilla de 2.400 expertos en más de 50 países, </w:t>
      </w:r>
      <w:proofErr w:type="spellStart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Swiss</w:t>
      </w:r>
      <w:proofErr w:type="spellEnd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Re </w:t>
      </w:r>
      <w:proofErr w:type="spellStart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Corporate</w:t>
      </w:r>
      <w:proofErr w:type="spellEnd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</w:t>
      </w:r>
      <w:proofErr w:type="spellStart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Solutions</w:t>
      </w:r>
      <w:proofErr w:type="spellEnd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es una unidad de negocio en crecimiento que busca talento joven empresarial.</w:t>
      </w:r>
    </w:p>
    <w:p w:rsidR="00251289" w:rsidRPr="000D74EB" w:rsidRDefault="00251289" w:rsidP="00251289">
      <w:pPr>
        <w:rPr>
          <w:rFonts w:ascii="Calibri" w:hAnsi="Calibri"/>
          <w:color w:val="000000" w:themeColor="text1"/>
          <w:lang w:val="es-MX"/>
        </w:rPr>
      </w:pPr>
    </w:p>
    <w:p w:rsidR="00251289" w:rsidRPr="000D74EB" w:rsidRDefault="00B80B8C" w:rsidP="00B80B8C">
      <w:pPr>
        <w:spacing w:after="0" w:line="240" w:lineRule="auto"/>
        <w:rPr>
          <w:rFonts w:ascii="Helvetica" w:eastAsia="Times New Roman" w:hAnsi="Helvetica" w:cs="Helvetica"/>
          <w:b/>
          <w:bCs/>
          <w:color w:val="ED7D31" w:themeColor="accent2"/>
          <w:sz w:val="20"/>
          <w:szCs w:val="20"/>
          <w:lang w:val="es-MX"/>
        </w:rPr>
      </w:pPr>
      <w:r w:rsidRPr="000D74EB">
        <w:rPr>
          <w:rFonts w:ascii="Helvetica" w:eastAsia="Times New Roman" w:hAnsi="Helvetica" w:cs="Helvetica"/>
          <w:color w:val="000000"/>
          <w:sz w:val="20"/>
          <w:szCs w:val="20"/>
          <w:lang w:val="es-MX"/>
        </w:rPr>
        <w:t> </w:t>
      </w:r>
      <w:proofErr w:type="spellStart"/>
      <w:r w:rsidR="00251289" w:rsidRPr="000D74EB">
        <w:rPr>
          <w:rFonts w:ascii="Helvetica" w:eastAsia="Times New Roman" w:hAnsi="Helvetica" w:cs="Helvetica"/>
          <w:b/>
          <w:bCs/>
          <w:color w:val="ED7D31" w:themeColor="accent2"/>
          <w:sz w:val="20"/>
          <w:szCs w:val="20"/>
          <w:lang w:val="es-MX"/>
        </w:rPr>
        <w:t>About</w:t>
      </w:r>
      <w:proofErr w:type="spellEnd"/>
      <w:r w:rsidR="00251289" w:rsidRPr="000D74EB">
        <w:rPr>
          <w:rFonts w:ascii="Helvetica" w:eastAsia="Times New Roman" w:hAnsi="Helvetica" w:cs="Helvetica"/>
          <w:b/>
          <w:bCs/>
          <w:color w:val="ED7D31" w:themeColor="accent2"/>
          <w:sz w:val="20"/>
          <w:szCs w:val="20"/>
          <w:lang w:val="es-MX"/>
        </w:rPr>
        <w:t xml:space="preserve"> </w:t>
      </w:r>
      <w:proofErr w:type="spellStart"/>
      <w:r w:rsidR="00251289" w:rsidRPr="000D74EB">
        <w:rPr>
          <w:rFonts w:ascii="Helvetica" w:eastAsia="Times New Roman" w:hAnsi="Helvetica" w:cs="Helvetica"/>
          <w:b/>
          <w:bCs/>
          <w:color w:val="ED7D31" w:themeColor="accent2"/>
          <w:sz w:val="20"/>
          <w:szCs w:val="20"/>
          <w:lang w:val="es-MX"/>
        </w:rPr>
        <w:t>the</w:t>
      </w:r>
      <w:proofErr w:type="spellEnd"/>
      <w:r w:rsidR="00251289" w:rsidRPr="000D74EB">
        <w:rPr>
          <w:rFonts w:ascii="Helvetica" w:eastAsia="Times New Roman" w:hAnsi="Helvetica" w:cs="Helvetica"/>
          <w:b/>
          <w:bCs/>
          <w:color w:val="ED7D31" w:themeColor="accent2"/>
          <w:sz w:val="20"/>
          <w:szCs w:val="20"/>
          <w:lang w:val="es-MX"/>
        </w:rPr>
        <w:t xml:space="preserve"> role</w:t>
      </w:r>
    </w:p>
    <w:p w:rsidR="00B80B8C" w:rsidRPr="000D74EB" w:rsidRDefault="00B80B8C" w:rsidP="00B80B8C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s-MX"/>
        </w:rPr>
      </w:pPr>
    </w:p>
    <w:p w:rsidR="00B80B8C" w:rsidRDefault="00B80B8C" w:rsidP="00251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El programa de graduados @</w:t>
      </w: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swissre</w:t>
      </w:r>
      <w:proofErr w:type="spellEnd"/>
      <w:r w:rsidR="00251289"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ofrece la oportunidad de unirse al excitante mundo de una organización especializada en servicios financieros. Estamos buscando graduados con un sólido historial de excelencia académica, experiencia internacional y conocimientos de idiomas para nuestros graduados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.</w:t>
      </w:r>
    </w:p>
    <w:p w:rsidR="00B80B8C" w:rsidRDefault="00B80B8C" w:rsidP="00251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B80B8C" w:rsidRDefault="00B80B8C" w:rsidP="00B8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Si te gradúas en mayo 2016 o tienes menos de 2 años de haberte graduado en carreras económico-administrativas, ingenierías o actuaría, dominas el idioma ingles y eres muy analítico </w:t>
      </w:r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tiene poca o ninguna experiencia de trabajo y cumplir con las condiciones anteriores, sólo </w:t>
      </w:r>
      <w:r w:rsidRPr="00251289">
        <w:rPr>
          <w:rFonts w:ascii="inherit" w:eastAsia="Times New Roman" w:hAnsi="inherit" w:cs="Courier New"/>
          <w:b/>
          <w:color w:val="212121"/>
          <w:szCs w:val="20"/>
          <w:lang w:val="es-ES" w:eastAsia="es-MX"/>
        </w:rPr>
        <w:t>podría ser el ajuste perfecto</w:t>
      </w:r>
    </w:p>
    <w:p w:rsidR="00B80B8C" w:rsidRDefault="00B80B8C" w:rsidP="00251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251289" w:rsidRPr="00251289" w:rsidRDefault="00B80B8C" w:rsidP="00251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R</w:t>
      </w:r>
      <w:r w:rsidR="00251289"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ecibirá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</w:t>
      </w:r>
      <w:r w:rsidR="00251289"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un entrenamiento exha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ustivo e intenso en </w:t>
      </w: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Zurich</w:t>
      </w:r>
      <w:proofErr w:type="spellEnd"/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</w:t>
      </w:r>
      <w:r w:rsidR="00251289"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para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est</w:t>
      </w:r>
      <w:r w:rsidR="00251289"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a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r listo a</w:t>
      </w:r>
      <w:r w:rsidR="00251289"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los desafíos empresariales que </w:t>
      </w:r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encontrará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</w:t>
      </w:r>
      <w:r w:rsidR="00251289"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en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tu trabajo cotidiano, después de tu entrenamiento te diremos donde sería tu sede de trabajo puede ser en México o en cualquier parte de los 50 países donde estamos</w:t>
      </w:r>
    </w:p>
    <w:p w:rsidR="00251289" w:rsidRPr="00251289" w:rsidRDefault="00251289" w:rsidP="002512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251289" w:rsidRDefault="00251289" w:rsidP="00B8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El programa de graduados @ </w:t>
      </w:r>
      <w:proofErr w:type="spellStart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swissre</w:t>
      </w:r>
      <w:proofErr w:type="spellEnd"/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consta de los </w:t>
      </w:r>
      <w:r w:rsidR="00B80B8C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beneficios</w:t>
      </w:r>
      <w:r w:rsidRPr="00251289"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:</w:t>
      </w:r>
    </w:p>
    <w:p w:rsidR="00B80B8C" w:rsidRDefault="00B80B8C" w:rsidP="00B8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B80B8C" w:rsidRDefault="00B80B8C" w:rsidP="00B8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Salario mensual de $30,000-32,000 m.n.</w:t>
      </w:r>
    </w:p>
    <w:p w:rsidR="00B80B8C" w:rsidRDefault="00B80B8C" w:rsidP="00B8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60 días de aguinaldo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15 días de vacaciones al año, los cuales van aumentando dependiendo de tu antigüedad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Prima vacacional de 15 días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13% de Fondo de ahorro que no está topado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Vales de despensa del 5% de tu sueldo base + $150 pesos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Vales de comida por $1,890 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Plan de pensión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Seguro de gastos médicos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Seguro de vida</w:t>
      </w:r>
    </w:p>
    <w:p w:rsidR="00B80B8C" w:rsidRPr="00B80B8C" w:rsidRDefault="00B80B8C" w:rsidP="00B80B8C">
      <w:pPr>
        <w:pStyle w:val="Prrafodelista"/>
        <w:numPr>
          <w:ilvl w:val="0"/>
          <w:numId w:val="1"/>
        </w:numPr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B80B8C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Bono por desempeño</w:t>
      </w:r>
    </w:p>
    <w:p w:rsidR="00B80B8C" w:rsidRDefault="00B80B8C" w:rsidP="00B8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</w:p>
    <w:p w:rsidR="000D74EB" w:rsidRPr="00B80B8C" w:rsidRDefault="000D74EB" w:rsidP="000D7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Interesados mandar su </w:t>
      </w: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Cv</w:t>
      </w:r>
      <w:proofErr w:type="spellEnd"/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a </w:t>
      </w:r>
      <w:hyperlink r:id="rId6" w:history="1">
        <w:r w:rsidRPr="000E3D46">
          <w:rPr>
            <w:rStyle w:val="Hipervnculo"/>
            <w:rFonts w:ascii="inherit" w:eastAsia="Times New Roman" w:hAnsi="inherit" w:cs="Courier New"/>
            <w:sz w:val="20"/>
            <w:szCs w:val="20"/>
            <w:lang w:val="es-ES" w:eastAsia="es-MX"/>
          </w:rPr>
          <w:t>gloria.oseguera@anahuac.mx</w:t>
        </w:r>
      </w:hyperlink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 xml:space="preserve"> y en asunto “</w:t>
      </w:r>
      <w:proofErr w:type="spellStart"/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SwissRe</w:t>
      </w:r>
      <w:proofErr w:type="spellEnd"/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>”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 w:eastAsia="es-MX"/>
        </w:rPr>
        <w:tab/>
      </w:r>
      <w:bookmarkStart w:id="0" w:name="_GoBack"/>
      <w:bookmarkEnd w:id="0"/>
    </w:p>
    <w:sectPr w:rsidR="000D74EB" w:rsidRPr="00B80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ReSans">
    <w:altName w:val="Arial"/>
    <w:charset w:val="00"/>
    <w:family w:val="swiss"/>
    <w:pitch w:val="variable"/>
    <w:sig w:usb0="800002AF" w:usb1="0000004A" w:usb2="00000000" w:usb3="00000000" w:csb0="0000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40AB5"/>
    <w:multiLevelType w:val="hybridMultilevel"/>
    <w:tmpl w:val="040A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52"/>
    <w:rsid w:val="000D74EB"/>
    <w:rsid w:val="00251289"/>
    <w:rsid w:val="004F6277"/>
    <w:rsid w:val="008E1852"/>
    <w:rsid w:val="00975AAE"/>
    <w:rsid w:val="00B51B0D"/>
    <w:rsid w:val="00B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4B19-6E19-4CDD-9B7F-7ED9478F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AE"/>
    <w:rPr>
      <w:rFonts w:ascii="SwissReSans" w:hAnsi="SwissReSans"/>
    </w:rPr>
  </w:style>
  <w:style w:type="paragraph" w:styleId="Ttulo1">
    <w:name w:val="heading 1"/>
    <w:basedOn w:val="Normal"/>
    <w:link w:val="Ttulo1Car"/>
    <w:uiPriority w:val="9"/>
    <w:qFormat/>
    <w:rsid w:val="008E1852"/>
    <w:pPr>
      <w:spacing w:after="96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852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1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1289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B80B8C"/>
    <w:pPr>
      <w:spacing w:after="0" w:line="240" w:lineRule="auto"/>
      <w:ind w:left="720"/>
    </w:pPr>
    <w:rPr>
      <w:rFonts w:ascii="Calibri" w:eastAsiaTheme="minorHAnsi" w:hAnsi="Calibri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D7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91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060">
              <w:marLeft w:val="0"/>
              <w:marRight w:val="0"/>
              <w:marTop w:val="3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8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ria.oseguera@anahuac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Re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Carbajal Ascencio</dc:creator>
  <cp:keywords/>
  <dc:description/>
  <cp:lastModifiedBy>Oseguera Laurent Gloria del Carmen</cp:lastModifiedBy>
  <cp:revision>2</cp:revision>
  <dcterms:created xsi:type="dcterms:W3CDTF">2017-03-01T16:39:00Z</dcterms:created>
  <dcterms:modified xsi:type="dcterms:W3CDTF">2017-03-01T16:39:00Z</dcterms:modified>
</cp:coreProperties>
</file>